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007B37" w:rsidRPr="00BE652F" w:rsidTr="00FF23F8">
        <w:trPr>
          <w:trHeight w:val="432"/>
        </w:trPr>
        <w:tc>
          <w:tcPr>
            <w:tcW w:w="2268" w:type="dxa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" w:colLast="1"/>
            <w:r w:rsidRPr="00BE652F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Financial Data Analyst (OG-II / OG-I)</w:t>
            </w:r>
          </w:p>
        </w:tc>
      </w:tr>
      <w:bookmarkEnd w:id="0"/>
      <w:tr w:rsidR="00007B37" w:rsidRPr="00BE652F" w:rsidTr="00FF23F8">
        <w:trPr>
          <w:trHeight w:val="432"/>
        </w:trPr>
        <w:tc>
          <w:tcPr>
            <w:tcW w:w="2268" w:type="dxa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07B37" w:rsidRPr="00BE652F" w:rsidRDefault="00007B37" w:rsidP="00FF23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Wing Head – Statutory Accounts Wing</w:t>
            </w:r>
          </w:p>
        </w:tc>
      </w:tr>
      <w:tr w:rsidR="00007B37" w:rsidRPr="00BE652F" w:rsidTr="00FF23F8">
        <w:trPr>
          <w:trHeight w:val="432"/>
        </w:trPr>
        <w:tc>
          <w:tcPr>
            <w:tcW w:w="2268" w:type="dxa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Candidate having Master’s or Bachelor’s Degree in Statistics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Mathematics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Actuarial Sciences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Computational Finance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Data Sciences and / or any other relevant professional qualification such as CA Inter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ACCA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ACMA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FRM will be preferred</w:t>
            </w:r>
          </w:p>
        </w:tc>
      </w:tr>
      <w:tr w:rsidR="00007B37" w:rsidRPr="00BE652F" w:rsidTr="00FF23F8">
        <w:trPr>
          <w:trHeight w:val="432"/>
        </w:trPr>
        <w:tc>
          <w:tcPr>
            <w:tcW w:w="2268" w:type="dxa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Minimum 03 years of experience in financial reporting and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or financial risk management in a financial institution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or audit firm. Candidates having experience related to IFRS-9 reporting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or implementation will be preferred</w:t>
            </w:r>
          </w:p>
        </w:tc>
      </w:tr>
      <w:tr w:rsidR="00007B37" w:rsidRPr="00BE652F" w:rsidTr="00FF23F8">
        <w:trPr>
          <w:trHeight w:val="432"/>
        </w:trPr>
        <w:tc>
          <w:tcPr>
            <w:tcW w:w="2268" w:type="dxa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C35">
              <w:rPr>
                <w:rFonts w:ascii="Arial" w:hAnsi="Arial" w:cs="Arial"/>
                <w:sz w:val="16"/>
                <w:szCs w:val="16"/>
              </w:rPr>
              <w:t xml:space="preserve">Good data mining and analytical skills with ability </w:t>
            </w:r>
            <w:r>
              <w:rPr>
                <w:rFonts w:ascii="Arial" w:hAnsi="Arial" w:cs="Arial"/>
                <w:sz w:val="16"/>
                <w:szCs w:val="16"/>
              </w:rPr>
              <w:t>to manage large volumes of data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C35">
              <w:rPr>
                <w:rFonts w:ascii="Arial" w:hAnsi="Arial" w:cs="Arial"/>
                <w:sz w:val="16"/>
                <w:szCs w:val="16"/>
              </w:rPr>
              <w:t xml:space="preserve">Good understanding of the Credit Risk, Exposure </w:t>
            </w:r>
            <w:proofErr w:type="gramStart"/>
            <w:r w:rsidRPr="00A56C35">
              <w:rPr>
                <w:rFonts w:ascii="Arial" w:hAnsi="Arial" w:cs="Arial"/>
                <w:sz w:val="16"/>
                <w:szCs w:val="16"/>
              </w:rPr>
              <w:t>At</w:t>
            </w:r>
            <w:proofErr w:type="gramEnd"/>
            <w:r w:rsidRPr="00A56C35">
              <w:rPr>
                <w:rFonts w:ascii="Arial" w:hAnsi="Arial" w:cs="Arial"/>
                <w:sz w:val="16"/>
                <w:szCs w:val="16"/>
              </w:rPr>
              <w:t xml:space="preserve"> Default (EADs), Probabilities of Default (PDs), Loss-Given Default Rates (LGDs), and Expected Credit Loss (ECL) calculation methodology, credit policy, etc.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Good knowledge of open-source programming and data analytics tools such as Python, Power BI, SQL, MS Excel, etc.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Detail oriented with high level of accuracy</w:t>
            </w:r>
          </w:p>
        </w:tc>
      </w:tr>
      <w:tr w:rsidR="00007B37" w:rsidRPr="00BE652F" w:rsidTr="00FF23F8">
        <w:trPr>
          <w:trHeight w:val="432"/>
        </w:trPr>
        <w:tc>
          <w:tcPr>
            <w:tcW w:w="2268" w:type="dxa"/>
            <w:vAlign w:val="center"/>
          </w:tcPr>
          <w:p w:rsidR="00007B37" w:rsidRPr="00BE652F" w:rsidRDefault="00007B37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07B37" w:rsidRPr="00A56C35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C35">
              <w:rPr>
                <w:rFonts w:ascii="Arial" w:hAnsi="Arial" w:cs="Arial"/>
                <w:sz w:val="16"/>
                <w:szCs w:val="16"/>
              </w:rPr>
              <w:t>To assist in carrying-out assessment and classification of financia</w:t>
            </w:r>
            <w:r>
              <w:rPr>
                <w:rFonts w:ascii="Arial" w:hAnsi="Arial" w:cs="Arial"/>
                <w:sz w:val="16"/>
                <w:szCs w:val="16"/>
              </w:rPr>
              <w:t>l instruments according to IFRS-</w:t>
            </w:r>
            <w:r w:rsidRPr="00A56C35">
              <w:rPr>
                <w:rFonts w:ascii="Arial" w:hAnsi="Arial" w:cs="Arial"/>
                <w:sz w:val="16"/>
                <w:szCs w:val="16"/>
              </w:rPr>
              <w:t>9 based criteria</w:t>
            </w:r>
          </w:p>
          <w:p w:rsidR="00007B37" w:rsidRPr="00A56C35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C35">
              <w:rPr>
                <w:rFonts w:ascii="Arial" w:hAnsi="Arial" w:cs="Arial"/>
                <w:sz w:val="16"/>
                <w:szCs w:val="16"/>
              </w:rPr>
              <w:t>To perform end-to-end implementation and reporting of IFRS-9 expected credit losses in liaison with finance counterpart responsible for all disclosure requirements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 xml:space="preserve">To perform data collection, aggregation and cleansing required for conducting </w:t>
            </w:r>
            <w:r>
              <w:rPr>
                <w:rFonts w:ascii="Arial" w:hAnsi="Arial" w:cs="Arial"/>
                <w:sz w:val="16"/>
                <w:szCs w:val="16"/>
              </w:rPr>
              <w:t>advance analytics and modelling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generate quarterly IFRS-9 expected credit losses and relevant disclosures using in-house models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ensure the relevant journal balance movements reconciliations, MI reports, Bank’s annual report and accounts entries are produced in line with IFRS-9 and the Bank’</w:t>
            </w:r>
            <w:r>
              <w:rPr>
                <w:rFonts w:ascii="Arial" w:hAnsi="Arial" w:cs="Arial"/>
                <w:sz w:val="16"/>
                <w:szCs w:val="16"/>
              </w:rPr>
              <w:t>s financial reporting timelines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assist in preparing analytical insights to the busin</w:t>
            </w:r>
            <w:r>
              <w:rPr>
                <w:rFonts w:ascii="Arial" w:hAnsi="Arial" w:cs="Arial"/>
                <w:sz w:val="16"/>
                <w:szCs w:val="16"/>
              </w:rPr>
              <w:t>ess teams and senior management</w:t>
            </w:r>
          </w:p>
          <w:p w:rsidR="00007B37" w:rsidRPr="00BE652F" w:rsidRDefault="00007B37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perform any other assignment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as</w:t>
            </w:r>
            <w:r w:rsidRPr="00BE652F">
              <w:rPr>
                <w:rFonts w:ascii="Arial" w:hAnsi="Arial" w:cs="Arial"/>
                <w:sz w:val="16"/>
                <w:szCs w:val="16"/>
              </w:rPr>
              <w:t xml:space="preserve"> assigned by the supervisor(s)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0CC"/>
    <w:multiLevelType w:val="hybridMultilevel"/>
    <w:tmpl w:val="142672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37"/>
    <w:rsid w:val="00007B37"/>
    <w:rsid w:val="00043027"/>
    <w:rsid w:val="003E23FA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5BDD-3505-48F5-BA92-850D2A4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B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2024-03-08T12:19:00Z</dcterms:created>
  <dcterms:modified xsi:type="dcterms:W3CDTF">2024-03-08T12:19:00Z</dcterms:modified>
</cp:coreProperties>
</file>